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Normal"/>
        <w:numPr>
          <w:ilvl w:val="0"/>
          <w:numId w:val="0"/>
        </w:numPr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Приложение 20</w:t>
      </w:r>
    </w:p>
    <w:p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к государственной программе </w:t>
      </w:r>
    </w:p>
    <w:p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"Развитие образования и науки Брянской области"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Порядок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предоставления и распределения субсидий бюджетам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муниципальных районов (муниципальных округов, городских округов) 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на 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 в рамках регионального проекта 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«Современная школа (Брянская область)» государственной программы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"Развитие образования и науки Брянской области"</w:t>
      </w:r>
    </w:p>
    <w:p>
      <w:pPr>
        <w:pStyle w:val="Normal"/>
        <w:spacing w:before="0" w:after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1. Настоящий Порядок устанавливает цели и условия предоставления субсидии из областного бюджета бюджетам муниципальных районов (муниципальных округов, городских округов) (далее - муниципальные образования) на 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 в рамках </w:t>
      </w:r>
      <w:bookmarkStart w:id="0" w:name="_GoBack"/>
      <w:bookmarkEnd w:id="0"/>
      <w:r>
        <w:rPr>
          <w:rFonts w:cs="Times New Roman" w:ascii="Times New Roman" w:hAnsi="Times New Roman"/>
        </w:rPr>
        <w:t>регионального проекта "Современная школа (Брянская область)" государственной программы "Развитие образования и науки Брянской области" (далее соответственно - субсидии, программа), критерии отбора муниципальных образований для предоставления субсидии, а также порядок отчетности об использовании субсидии.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bookmarkStart w:id="1" w:name="P13045"/>
      <w:bookmarkEnd w:id="1"/>
      <w:r>
        <w:rPr>
          <w:rFonts w:cs="Times New Roman" w:ascii="Times New Roman" w:hAnsi="Times New Roman"/>
        </w:rPr>
        <w:t>2. Субсидии предоставляются в целях достижения результата использования субсидии "Приобретение средств обучения и воспитания в целях обновления материально-технической базы общеобразовательных организаций, осуществляющих образовательную деятельность исключительно по адаптированным основным общеобразовательным программам", значение которого устанавливается в соглашении о предоставлении субсидии, заключаемого в соответствии с пунктом 12 настоящего Порядка.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3. Требованием к результату использования субсидии, установленным в пункте 2 настоящего Порядка, является приобретение средств обучения и воспитания, комплектуемых в соответствии с методическими рекомендациями Министерства просвещения Российской Федерации, размещаемыми на официальном сайте Министерства в информационно-телекоммуникационной сети "Интернет" (далее - методические рекомендации).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4. Субсидии предоставляются в пределах бюджетных ассигнований областного бюджета и лимитов бюджетных обязательств, доведенных до главного распорядителя средств областного бюджета в установленном порядке.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5. Главным распорядителем средств областного бюджета является департамент образования и науки Брянской области (далее - департамент).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6. Субсидии предоставляются при условии: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а) наличия правового акта муниципального образования, утверждающего перечень мероприятий, указанных в </w:t>
      </w:r>
      <w:hyperlink w:anchor="P13045">
        <w:r>
          <w:rPr>
            <w:rFonts w:cs="Times New Roman" w:ascii="Times New Roman" w:hAnsi="Times New Roman"/>
          </w:rPr>
          <w:t>пункте 2</w:t>
        </w:r>
      </w:hyperlink>
      <w:r>
        <w:rPr>
          <w:rFonts w:cs="Times New Roman" w:ascii="Times New Roman" w:hAnsi="Times New Roman"/>
        </w:rPr>
        <w:t xml:space="preserve"> настоящего Порядка, в целях софинансирования которых предоставляется субсидия, в соответствии с требованиями нормативных правовых актов Брянской области (далее - перечень мероприятий);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б) наличия в бюджете муниципального образования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в) заключение соглашения между департаментом и органами местного самоуправления о предоставлении субсидии (далее - соглашение) в соответствии с </w:t>
      </w:r>
      <w:hyperlink r:id="rId2">
        <w:r>
          <w:rPr>
            <w:rFonts w:cs="Times New Roman" w:ascii="Times New Roman" w:hAnsi="Times New Roman"/>
          </w:rPr>
          <w:t>пунктом 10</w:t>
        </w:r>
      </w:hyperlink>
      <w:r>
        <w:rPr>
          <w:rFonts w:cs="Times New Roman" w:ascii="Times New Roman" w:hAnsi="Times New Roman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№ 362-п "Об утверждении Правил формирования, предоставления и распределения субсидий из областного бюджета бюджетам муниципальных образований Брянской области" (далее - Правила формирования, предоставления и распределения субсидий).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7. Отбор муниципальных образований осуществляется по конкурсу, организованному департаментом образования и науки Брянской области.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8. Объем бюджетных ассигнований, предусмотренных в бюджетах муниципальных образований на исполнение расходных обязательств, в целях софинансирования которых предоставляется субсидия, может быть увеличен в одностороннем порядке со стороны муниципального образования, что не влечет обязательств по увеличению размера субсидии.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bookmarkStart w:id="2" w:name="P13055"/>
      <w:bookmarkEnd w:id="2"/>
      <w:r>
        <w:rPr>
          <w:rFonts w:cs="Times New Roman" w:ascii="Times New Roman" w:hAnsi="Times New Roman"/>
        </w:rPr>
        <w:t>9. Распределение субсидии между бюджетами муниципальных образований утверждается законом Брянской области об областном бюджете на соответствующий финансовый год и плановый период. Внесение изменений осуществляется в соответствии с Законом Брянской области "О межбюджетных отношениях в Брянской области".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10. Субсидии предоставляются муниципальным образованиям, на территории которых находятся образовательные организации, прошедшие отбор в департаменте и согласованные Министерством, в рамках заявки на участие в конкурсном отборе на предоставление субсидии из федерального бюджета.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11. Размер субсидии, предоставляемой i-му муниципальному образованию (Si), определяется по формуле: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S</m:t>
            </m:r>
          </m:e>
          <m:sub>
            <m:r>
              <w:rPr>
                <w:rFonts w:ascii="Cambria Math" w:hAnsi="Cambria Math"/>
              </w:rPr>
              <m:t xml:space="preserve">i</m:t>
            </m:r>
          </m:sub>
        </m:sSub>
        <m:r>
          <w:rPr>
            <w:rFonts w:ascii="Cambria Math" w:hAnsi="Cambria Math"/>
          </w:rPr>
          <m:t xml:space="preserve">=</m:t>
        </m:r>
        <m:f>
          <m:num>
            <m:sSub>
              <m:e>
                <m:r>
                  <w:rPr>
                    <w:rFonts w:ascii="Cambria Math" w:hAnsi="Cambria Math"/>
                  </w:rPr>
                  <m:t xml:space="preserve">S</m:t>
                </m:r>
              </m:e>
              <m:sub>
                <m:r>
                  <w:rPr>
                    <w:rFonts w:ascii="Cambria Math" w:hAnsi="Cambria Math"/>
                  </w:rPr>
                  <m:t xml:space="preserve">o</m:t>
                </m:r>
              </m:sub>
            </m:sSub>
          </m:num>
          <m:den>
            <m:sSub>
              <m:e>
                <m:r>
                  <w:rPr>
                    <w:rFonts w:ascii="Cambria Math" w:hAnsi="Cambria Math"/>
                  </w:rPr>
                  <m:t xml:space="preserve">O</m:t>
                </m:r>
              </m:e>
              <m:sub>
                <m:r>
                  <w:rPr>
                    <w:rFonts w:ascii="Cambria Math" w:hAnsi="Cambria Math"/>
                  </w:rPr>
                  <m:t xml:space="preserve">o</m:t>
                </m:r>
              </m:sub>
            </m:sSub>
          </m:den>
        </m:f>
        <m:r>
          <w:rPr>
            <w:rFonts w:ascii="Cambria Math" w:hAnsi="Cambria Math"/>
          </w:rPr>
          <m:t xml:space="preserve">×</m:t>
        </m:r>
        <m:sSub>
          <m:e>
            <m:r>
              <w:rPr>
                <w:rFonts w:ascii="Cambria Math" w:hAnsi="Cambria Math"/>
              </w:rPr>
              <m:t xml:space="preserve">O</m:t>
            </m:r>
          </m:e>
          <m:sub>
            <m:r>
              <w:rPr>
                <w:rFonts w:ascii="Cambria Math" w:hAnsi="Cambria Math"/>
              </w:rPr>
              <m:t xml:space="preserve">i</m:t>
            </m:r>
          </m:sub>
        </m:sSub>
      </m:oMath>
      <w:r>
        <w:rPr>
          <w:rFonts w:cs="Times New Roman" w:ascii="Times New Roman" w:hAnsi="Times New Roman"/>
        </w:rPr>
        <w:t>,где: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Si - размер субсидии бюджету i-го муниципального образования;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lang w:val="en-US"/>
        </w:rPr>
        <w:t>S</w:t>
      </w:r>
      <w:r>
        <w:rPr>
          <w:rFonts w:cs="Times New Roman" w:ascii="Times New Roman" w:hAnsi="Times New Roman"/>
          <w:vertAlign w:val="subscript"/>
          <w:lang w:val="en-US"/>
        </w:rPr>
        <w:t>o</w:t>
      </w:r>
      <w:r>
        <w:rPr>
          <w:rFonts w:cs="Times New Roman" w:ascii="Times New Roman" w:hAnsi="Times New Roman"/>
        </w:rPr>
        <w:t xml:space="preserve"> - общий объем субсидии, подлежащий распределению между бюджетами муниципальных образований на 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i/>
          <w:lang w:val="en-US"/>
        </w:rPr>
        <w:t>O</w:t>
      </w:r>
      <w:r>
        <w:rPr>
          <w:rFonts w:cs="Times New Roman" w:ascii="Times New Roman" w:hAnsi="Times New Roman"/>
          <w:i/>
          <w:vertAlign w:val="subscript"/>
          <w:lang w:val="en-US"/>
        </w:rPr>
        <w:t>o</w:t>
      </w:r>
      <w:r>
        <w:rPr>
          <w:rFonts w:cs="Times New Roman" w:ascii="Times New Roman" w:hAnsi="Times New Roman"/>
        </w:rPr>
        <w:t xml:space="preserve"> – общее количество общеобразовательных организаций, осуществляющих образовательную деятельность исключительно по адаптированным основным общеобразовательным программам, муниципальных образований согласно перечню в соглашении между Министерством просвещения Российской Федерации и Правительством Брянской области на соответствующий год;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i/>
          <w:lang w:val="en-US"/>
        </w:rPr>
        <w:t>Oi</w:t>
      </w:r>
      <w:r>
        <w:rPr>
          <w:rFonts w:cs="Times New Roman" w:ascii="Times New Roman" w:hAnsi="Times New Roman"/>
        </w:rPr>
        <w:t xml:space="preserve"> – количество общеобразовательных организаций, осуществляющих образовательную деятельность исключительно по адаптированным основным общеобразовательным программам муниципального образования, где планируется обновление материально-технической базы.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12. Предоставление субсидии осуществляется в соответствии с </w:t>
      </w:r>
      <w:hyperlink w:anchor="P13055">
        <w:r>
          <w:rPr>
            <w:rFonts w:cs="Times New Roman" w:ascii="Times New Roman" w:hAnsi="Times New Roman"/>
          </w:rPr>
          <w:t>пунктом 9</w:t>
        </w:r>
      </w:hyperlink>
      <w:r>
        <w:rPr>
          <w:rFonts w:cs="Times New Roman" w:ascii="Times New Roman" w:hAnsi="Times New Roman"/>
        </w:rPr>
        <w:t xml:space="preserve"> настоящего Порядка и соглашением, заключенным в государственной интегрированной информационной системе управления общественными финансами "Электронный бюджет" (далее - система "Электронный бюджет"). В соглашении предусматриваются положения </w:t>
      </w:r>
      <w:hyperlink r:id="rId3">
        <w:r>
          <w:rPr>
            <w:rFonts w:cs="Times New Roman" w:ascii="Times New Roman" w:hAnsi="Times New Roman"/>
          </w:rPr>
          <w:t>пункта 10</w:t>
        </w:r>
      </w:hyperlink>
      <w:r>
        <w:rPr>
          <w:rFonts w:cs="Times New Roman" w:ascii="Times New Roman" w:hAnsi="Times New Roman"/>
        </w:rPr>
        <w:t xml:space="preserve"> Правил формирования, предоставления и распределения субсидий.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13. Соглашения и дополнительные соглашения к соглашению, предусматривающие внесение в него изменений и его расторжение, заключаются по типовой форме, предусмотренной в системе "Электронный бюджет".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14. </w:t>
      </w:r>
      <w:r>
        <w:rPr>
          <w:rFonts w:cs="Times New Roman" w:ascii="Times New Roman" w:hAnsi="Times New Roman"/>
          <w:sz w:val="24"/>
          <w:szCs w:val="24"/>
        </w:rPr>
        <w:t>Внесение в соглашение изменений, предусматривающих ухудшение значения результата использования субсидий, а также увеличение сроков реализации предусмотренных соглашением мероприятий не допускается, за исключением случаев, изменения результата регионального проекта, указанного в пункте 2 настоящего Порядка, а также случая сокращения размера субсидии.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15. Объем бюджетных ассигнований бюджета муниципального образования на финансовое обеспечение расходного обязательства муниципального образования, софинансируемого за счет субсидии, утверждается решением о бюджете муниципального образования (определяется сводной бюджетной росписью бюджета муниципального образования) исходя из необходимости достижения установленных соглашением значений результатов использования субсидии.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</w:rPr>
        <w:t xml:space="preserve">16. </w:t>
      </w:r>
      <w:r>
        <w:rPr>
          <w:rFonts w:cs="Times New Roman" w:ascii="Times New Roman" w:hAnsi="Times New Roman"/>
          <w:sz w:val="24"/>
          <w:szCs w:val="24"/>
        </w:rPr>
        <w:t>Перечисление субсидий осуществляется в установленном порядке на счета, открытые управлению Федерального казначейства по Брянской области в учреждениях Центрального банка Российской Федерации для учета операций со средствами бюджетов муниципальных образований.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17. Оценка эффективности использования муниципальным образованием субсидии осуществляется департаментом исходя из достигнутых значений результатов использования субсидии, установленных соглашением.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18. Орган местного самоуправления муниципального образования </w:t>
      </w:r>
      <w:r>
        <w:rPr>
          <w:rFonts w:cs="Times New Roman" w:ascii="Times New Roman" w:hAnsi="Times New Roman"/>
          <w:sz w:val="24"/>
          <w:szCs w:val="24"/>
        </w:rPr>
        <w:t xml:space="preserve">размещает в сроки и порядке, установленные соглашением, </w:t>
      </w:r>
      <w:r>
        <w:rPr>
          <w:rFonts w:cs="Times New Roman" w:ascii="Times New Roman" w:hAnsi="Times New Roman"/>
        </w:rPr>
        <w:t xml:space="preserve"> в системе "Электронный бюджет":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отчет о расходах бюджета </w:t>
      </w:r>
      <w:r>
        <w:rPr>
          <w:rFonts w:cs="Times New Roman" w:ascii="Times New Roman" w:hAnsi="Times New Roman"/>
        </w:rPr>
        <w:t>муниципального образования</w:t>
      </w:r>
      <w:r>
        <w:rPr>
          <w:rFonts w:cs="Times New Roman" w:ascii="Times New Roman" w:hAnsi="Times New Roman"/>
          <w:sz w:val="24"/>
          <w:szCs w:val="24"/>
        </w:rPr>
        <w:t>, в целях софинансирования которых предоставлена субсидия;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отчет о достижении значения результата использования субсидии.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19. 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соглашением, в соответствии с подпунктом «б(1)» пункта 10 Правил формирования, предоставления и распределения субсидий и в срок до первой даты представления отчетности о достижении значения результата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образования в областной бюджет, и срок возврата указанных средств определяются в соответствии с пунктами 16 - 18 Правил формирования, предоставления и распределения субсидий.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Освобождение муниципального образования от применения мер ответственности, предусмотренных пунктом 16 Правил формирования, предоставления и распределения субсидий, в том числе возврата средств в доход областного бюджета, осуществляется в соответствии с пунктом 20 указанных Правил.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20. В случае нецелевого использования субсидии муниципальным образованием к нему применяются бюджетные меры принуждения, предусмотренные бюджетным законодательством Российской Федерации.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21. Контроль за соблюдением муниципальным образованием условий предоставления субсидии осуществляется департаментом.</w:t>
      </w:r>
    </w:p>
    <w:sectPr>
      <w:type w:val="nextPage"/>
      <w:pgSz w:w="11906" w:h="16838"/>
      <w:pgMar w:left="1701" w:right="851" w:header="0" w:top="851" w:footer="0" w:bottom="851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ourier New"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laceholderText">
    <w:name w:val="Placeholder Text"/>
    <w:basedOn w:val="DefaultParagraphFont"/>
    <w:uiPriority w:val="99"/>
    <w:semiHidden/>
    <w:qFormat/>
    <w:rsid w:val="002f2c84"/>
    <w:rPr>
      <w:color w:val="808080"/>
    </w:rPr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2f2c84"/>
    <w:rPr>
      <w:rFonts w:ascii="Tahoma" w:hAnsi="Tahoma" w:cs="Tahoma"/>
      <w:sz w:val="16"/>
      <w:szCs w:val="16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Arial Unicode M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 Unicode MS"/>
    </w:rPr>
  </w:style>
  <w:style w:type="paragraph" w:styleId="ConsPlusNormal" w:customStyle="1">
    <w:name w:val="ConsPlusNormal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eastAsia="ru-RU" w:val="ru-RU" w:bidi="ar-SA"/>
    </w:rPr>
  </w:style>
  <w:style w:type="paragraph" w:styleId="ConsPlusNonformat" w:customStyle="1">
    <w:name w:val="ConsPlusNonformat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ConsPlusTitle" w:customStyle="1">
    <w:name w:val="ConsPlusTitle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b/>
      <w:color w:val="auto"/>
      <w:kern w:val="0"/>
      <w:sz w:val="22"/>
      <w:szCs w:val="20"/>
      <w:lang w:eastAsia="ru-RU" w:val="ru-RU" w:bidi="ar-SA"/>
    </w:rPr>
  </w:style>
  <w:style w:type="paragraph" w:styleId="ConsPlusCell" w:customStyle="1">
    <w:name w:val="ConsPlusCell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ConsPlusDocList" w:customStyle="1">
    <w:name w:val="ConsPlusDocList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eastAsia="ru-RU" w:val="ru-RU" w:bidi="ar-SA"/>
    </w:rPr>
  </w:style>
  <w:style w:type="paragraph" w:styleId="ConsPlusTitlePage" w:customStyle="1">
    <w:name w:val="ConsPlusTitlePage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Tahoma" w:hAnsi="Tahoma" w:eastAsia="Times New Roman" w:cs="Tahoma"/>
      <w:color w:val="auto"/>
      <w:kern w:val="0"/>
      <w:sz w:val="20"/>
      <w:szCs w:val="20"/>
      <w:lang w:eastAsia="ru-RU" w:val="ru-RU" w:bidi="ar-SA"/>
    </w:rPr>
  </w:style>
  <w:style w:type="paragraph" w:styleId="ConsPlusJurTerm" w:customStyle="1">
    <w:name w:val="ConsPlusJurTerm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Tahoma" w:hAnsi="Tahoma" w:eastAsia="Times New Roman" w:cs="Tahoma"/>
      <w:color w:val="auto"/>
      <w:kern w:val="0"/>
      <w:sz w:val="26"/>
      <w:szCs w:val="20"/>
      <w:lang w:eastAsia="ru-RU" w:val="ru-RU" w:bidi="ar-SA"/>
    </w:rPr>
  </w:style>
  <w:style w:type="paragraph" w:styleId="ConsPlusTextList" w:customStyle="1">
    <w:name w:val="ConsPlusTextList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eastAsia="ru-RU" w:val="ru-RU" w:bidi="ar-SA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2f2c84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f37d7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3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Application>LibreOffice/7.0.1.2$Windows_X86_64 LibreOffice_project/7cbcfc562f6eb6708b5ff7d7397325de9e764452</Application>
  <Pages>3</Pages>
  <Words>997</Words>
  <Characters>8207</Characters>
  <CharactersWithSpaces>9172</CharactersWithSpaces>
  <Paragraphs>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2020-10-13T05:42:00Z</dcterms:created>
  <dc:creator>User</dc:creator>
  <dc:description/>
  <dc:language>ru-RU</dc:language>
  <cp:lastModifiedBy>User</cp:lastModifiedBy>
  <dcterms:modified xsi:type="dcterms:W3CDTF">2021-10-14T11:44:00Z</dcterms:modified>
  <cp:revision>34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